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(SPDM), 2018 yılında kurulmuş ve sporda performans değerlendirme ve yetenek seçimi ile ilgili disiplinlerarası bilimsel ve teknolojik araştırma ve uygulamalar yapmak amacıyla faaliyet göstermeye başlamıştır. Bu raporda, merkezin 2023 yılındaki faaliyetleri, güçlü ve zayıf yönleri, gelecek hedefleri ve planları değerlendirilecektir.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Trabzon Üniversitesi Kalite Koordinatörlüğünün BİDR değerlendirme ve/veya ziyaret sürecinde iletişim kuracağı Birim/Bölüm Kalite Komisyon Başkanının (Dekan/Müdür/Bölüm Başkanı veya ilgili Dekan/Müdür/Bölüm Başkan Yardımcısı) iletişim bilgileri (isim, adres, telefon, e-posta vb.) verilmelidir.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Telefon1: 0462 455 1243 (Merkez Müdürü-Prof.Dr. Fatih Bektaş Sekreteri)    Telefon2: 0462 455 1217    E-Posta 1: performansmerkezi@trabzon.edu.tr    Adres: Üniversite Mahallesi Ahmet Suat Özyazıcı Caddesi No : 30 Mehmet Ali Yılmaz Tesisleri yanı Yat Limanı Girişi Ortahisar / Trabzon / TÜRKİYE   Adres2: Trabzon Üniversitesi F Blok 2. Kat</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Trabzon Üniversitesi Sporda Performans Değerlendirme ve Yetenek Seçimi Uygulama ve Araştırma Merkezi 29.04.2019 tarihli 30759 sayılı yönetmelik ile Trabzon'da kurulmuştur.  Merkez şuan 3 Akademik personele(1 Merkez Müdürü) sahiptir.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“Birim/Bölüm ne yapmaya çalışıyor?” sorusuna yanıt verebilmek üzere Birim/Bölümün misyonu, vizyonu, değerleri ve hedefleri bu kısımda özet olarak sunulmalıdır.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Misyonumuz: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performans değerlendirme ve yetenek seçimi alanlarında akademik ve saha araştırmalarını eş zamanlı yürütmek.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Paydaşlarla ortak hedeflere yürümek ve çözüm ortağı olmak.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Kamu kurumları ve STK'larla projeler üreten bir yapı oluşturmak.</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Vizyonumuz: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Performans Değerlendirme ve Yetenek Seçimi Uygulamaları alanına farklı bakış açılarıyla geleceğe ışık tutmak.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Genç araştırmacıları farklı disiplinlerle çözüm ortağı yapmak ve inovatif düşünce becerisi kazandırmak.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Genç sporcularımızın dünya sporcu havuzlarıyla kıyaslanması ve doğru spor branşlarına bilimsel veriler ışığında yönlendirilmesini sağlamak.</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Değerlerimiz: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Bilimsellik:</w:t>
      </w:r>
      <w:r>
        <w:rPr>
          <w:rFonts w:ascii="Times New Roman" w:hAnsi="Times New Roman" w:eastAsia="Times New Roman" w:cs="Times New Roman"/>
          <w:color w:val="000000"/>
          <w:sz w:val="24"/>
          <w:szCs w:val="24"/>
        </w:rPr>
        <w:t xml:space="preserve"> Tüm çalışmalarımızı bilimsel yöntemlere dayandırmak ve objektif bulgular elde etmek.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Etik:</w:t>
      </w:r>
      <w:r>
        <w:rPr>
          <w:rFonts w:ascii="Times New Roman" w:hAnsi="Times New Roman" w:eastAsia="Times New Roman" w:cs="Times New Roman"/>
          <w:color w:val="000000"/>
          <w:sz w:val="24"/>
          <w:szCs w:val="24"/>
        </w:rPr>
        <w:t xml:space="preserve"> Araştırma ve uygulamalarımızda etik ilkelere uymak ve katılımcıların haklarını gözetmek.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Şeffaflık:</w:t>
      </w:r>
      <w:r>
        <w:rPr>
          <w:rFonts w:ascii="Times New Roman" w:hAnsi="Times New Roman" w:eastAsia="Times New Roman" w:cs="Times New Roman"/>
          <w:color w:val="000000"/>
          <w:sz w:val="24"/>
          <w:szCs w:val="24"/>
        </w:rPr>
        <w:t xml:space="preserve"> Faaliyetlerimiz hakkında açık ve şeffaf bir şekilde bilgi vermek.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İşbirliği:</w:t>
      </w:r>
      <w:r>
        <w:rPr>
          <w:rFonts w:ascii="Times New Roman" w:hAnsi="Times New Roman" w:eastAsia="Times New Roman" w:cs="Times New Roman"/>
          <w:color w:val="000000"/>
          <w:sz w:val="24"/>
          <w:szCs w:val="24"/>
        </w:rPr>
        <w:t xml:space="preserve"> Paydaşlarımızla iş birliğine önem vermek ve ortak sinerjiler yaratmak.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Sürdürülebilirlik:</w:t>
      </w:r>
      <w:r>
        <w:rPr>
          <w:rFonts w:ascii="Times New Roman" w:hAnsi="Times New Roman" w:eastAsia="Times New Roman" w:cs="Times New Roman"/>
          <w:color w:val="000000"/>
          <w:sz w:val="24"/>
          <w:szCs w:val="24"/>
        </w:rPr>
        <w:t xml:space="preserve"> Faaliyetlerimizi sürdürülebilir bir şekilde yürütmek ve gelecek nesillere değer katmak.</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Hedeflerimiz: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performans değerlendirme ve yetenek seçimi alanlarında ulusal ve uluslararası alanda önde gelen bir araştırma merkezi olmak.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Araştırma bulgularımızı spora ve sporculara fayda sağlayacak şekilde uygulamak.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Genç araştırmacıların yetiştirilmesine katkıda bulunmak.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başarıyı artırmak için bilimsel veriler üretmek.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Toplumda sporun yaygınlaşmasına katkıda bulunmak.</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yönetim modeli ve idari yapı bakımından temel bir modele ve organizasyon şemasına sahiptir. Bu model kapsamında Merkezdeki çalışma ekiplerinin pozisyonları belirlenmiştir. Katılımcı bir yönetim anlayış ile şekillendirilmeye çalışılan bu organizasyon yapıları Merkez Akademik Kurulu ile izlenmeye ve geliştirilmeye başlanmıştır.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misyon ve stratejik hedeflerine ulaşmasını güvence altına alan ve süreçleriyle uyumlu yönetişim modeli ve idari yapılanması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48667b2333cdaf66" w:history="1">
        <w:r>
          <w:rPr>
            <w:rStyle w:val="DefaultParagraphFontPHPDOCX"/>
            <w:rFonts w:ascii="Times New Roman" w:hAnsi="Times New Roman" w:eastAsia="Times New Roman" w:cs="Times New Roman"/>
            <w:color w:val="0000FF"/>
            <w:sz w:val="24"/>
            <w:szCs w:val="24"/>
            <w:u w:val="single" w:color="000000"/>
          </w:rPr>
          <w:t xml:space="preserve">(2)A.1.1._1: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Merkezi’nde liderlik anlayışı ve koordinasyon kültürü oluşmaya başlamıştır. Liderler olarak birim yöneticileri kurumun değerleri ve hedefleri doğrultusunda yetki paylaşımı yapmaktadır. Kalite güvence sistemleri açısından dekanlık liderliğinde çalışmalarına başlamış ve Merkez Müdürü liderliğinde kalite sorumlu üyeler belirlenerek görev dağılımı belirlemiştir. Kalite güvence sistemlerinin desteklenmesi için akademik ve idari birimler ile yönetim arasında etkin bir iletişim ağı oluşturulmuştur. Bu kapsamda yine kurumsal kültürün ve kalite süreçlerinin içselleştirilmesi için çeşitli toplantılar ve organizasyonlar yapılmıştır.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liderlerin kalite güvencesi sisteminin yönetimi ve kültürünün içselleştirilmesi konusunda sahipliği ve motivasyonu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03967b2333cdb63a" w:history="1">
        <w:r>
          <w:rPr>
            <w:rStyle w:val="DefaultParagraphFontPHPDOCX"/>
            <w:rFonts w:ascii="Times New Roman" w:hAnsi="Times New Roman" w:eastAsia="Times New Roman" w:cs="Times New Roman"/>
            <w:color w:val="0000FF"/>
            <w:sz w:val="24"/>
            <w:szCs w:val="24"/>
            <w:u w:val="single" w:color="000000"/>
          </w:rPr>
          <w:t xml:space="preserve">(2)A.1.2._1: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misyon, vizyon ve stratejik hedefleri doğrultusunda, ulusal ve uluslararası yükseköğretimdeki gelişmeleri yakından takip etmektedir. Bununla birlikte fakültenin kurumsal yapı ve işleyişin etkinliğini artırmak için uygulamalar oluşturulmakta ve hayata geçirilmeye çalışılmaktadır. Bu yüzden henüz kurumda değişim yönetim sistemine ilişkin uygulamalara ihtiyaç duyulmamış ve oluşturulmamıştır.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değişim yönetimi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Kalite Komisyonu'nun prosedürleri ve uygulamaları merkez personeli tarafından belirlenmiş ve anlaşılmıştır. Kalite Komisyonu'nun organizasyon yapısı, işlevleri ve yükümlülükleri ana hatlarıyla belirlenmiştir. Üniversite kalite politikalarına uygun olarak faaliyet gösteren kaliteden sorumlu akademisyenler, kalite ile ilgili faaliyetlerin yürütülmesinde kuruma yardımcı olmaktadır. Fakültenin birimleri bünyesinde yürütülen çalışmalar, Trabzon Üniversitesi Kalite Güvence Sistemi politikasına uygundur.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iç kalite güvencesi süreç ve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32167b2333cdc176" w:history="1">
        <w:r>
          <w:rPr>
            <w:rStyle w:val="DefaultParagraphFontPHPDOCX"/>
            <w:rFonts w:ascii="Times New Roman" w:hAnsi="Times New Roman" w:eastAsia="Times New Roman" w:cs="Times New Roman"/>
            <w:color w:val="0000FF"/>
            <w:sz w:val="24"/>
            <w:szCs w:val="24"/>
            <w:u w:val="single" w:color="000000"/>
          </w:rPr>
          <w:t xml:space="preserve">(2)A.1.4._1: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Merkezinin resmî web sayfası mevcuttur. Tüm faaliyetler güncel olmak kaydıyla kamuoyu ile paylaşılmaktadır. Birim tüm iş ve işlemlerine ilişkin, 2547 ve 5018 sayılı temel Kanun’lar başta olmak üzere, mevzuat uyarınca hesap verebilir niteliğe sahiptir. Birim misyon ve stratejik hedeflerine ulaşmasını güvence altına alan ve süreçleriyle uyumlu yönetim modeline ve idari yapılanmaya sahiptir. Merkezimizin kamuoyunu bilgilendirme kanalı olarak web sayfamızın yanında sosyal medya hesaplarımız da bulunmaktadır. Konu ile ilgili web tasarım komisyonu görevlendirilmiş olup, sistematik bir mekanizma da belirlenmiştir. Mekanizma işletilirken dış paydaşlarımızla ile ilişkili haber, duyuru ve etkinliklere özen gösterilmektedir. Ayrıca faaliyet raporumuz, birim iç değerlendirme raporumuz ve mevcut bölümlerimize ait bölüm öz değerlendirme raporları yıllık olarak kamuoyu ile paylaşılmaktadır.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şeffaflık ve hesap verebilirlik ilkeleri doğrultusunda kamuoyunu bilgilendirmek üzere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75267b2333cdc85f" w:history="1">
        <w:r>
          <w:rPr>
            <w:rStyle w:val="DefaultParagraphFontPHPDOCX"/>
            <w:rFonts w:ascii="Times New Roman" w:hAnsi="Times New Roman" w:eastAsia="Times New Roman" w:cs="Times New Roman"/>
            <w:color w:val="0000FF"/>
            <w:sz w:val="24"/>
            <w:szCs w:val="24"/>
            <w:u w:val="single" w:color="000000"/>
          </w:rPr>
          <w:t xml:space="preserve">(2)A.1.5._1: 2</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özelinde misyon ve vizyon ifadeleri tanımlanmış ve tüm kurum çalışanlarına iletilmek üzere kurum web sayfasında yayınlanmıştır.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tanımlanmış ve kuruma özgü misyon, vizyon ve politikaları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19067b2333cdcf85" w:history="1">
        <w:r>
          <w:rPr>
            <w:rStyle w:val="DefaultParagraphFontPHPDOCX"/>
            <w:rFonts w:ascii="Times New Roman" w:hAnsi="Times New Roman" w:eastAsia="Times New Roman" w:cs="Times New Roman"/>
            <w:color w:val="0000FF"/>
            <w:sz w:val="24"/>
            <w:szCs w:val="24"/>
            <w:u w:val="single" w:color="000000"/>
          </w:rPr>
          <w:t xml:space="preserve">(2)A.2.1._1: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Merkezi’nin kendine ait bir stratejik planı bulunmamaktadır. Merkez Trabzon Üniversitesi’nin ortaya koyduğu stratejik plana tabi olarak stratejik amaç ve hedeflerini oluşturmuş ve bu çerçevede faaliyetlerini yürütmektedir.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stratejik planı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kendine özgü performans yönetim sistemi bulunmamaktadır. Merkez Trabzon Üniversitesi 2021-2025 Stratejik Planında eğitim ve araştırma konusunda belirlenen performans göstergelerini takip 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performans göstergeleri ve performans yönetimi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03367b2333cdd791" w:history="1">
        <w:r>
          <w:rPr>
            <w:rStyle w:val="DefaultParagraphFontPHPDOCX"/>
            <w:rFonts w:ascii="Times New Roman" w:hAnsi="Times New Roman" w:eastAsia="Times New Roman" w:cs="Times New Roman"/>
            <w:color w:val="0000FF"/>
            <w:sz w:val="24"/>
            <w:szCs w:val="24"/>
            <w:u w:val="single" w:color="000000"/>
          </w:rPr>
          <w:t xml:space="preserve">(2)A.2.3._1: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bünyesinde kurumun kendine özgü bir bilgi yönetim sistemi bulunmaktadır. Ayrıca merkez ait veriler ve analizler Trabzon Üniversitesi bilgi yönetim sistemi üzerinden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kurumsal bilginin edinimi, saklanması, kullanılması, işlenmesi ve değerlendirilmesine destek olacak bilgi yönetim sistemleri oluşturulmuştur.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65467b2333cddad1" w:history="1">
        <w:r>
          <w:rPr>
            <w:rStyle w:val="DefaultParagraphFontPHPDOCX"/>
            <w:rFonts w:ascii="Times New Roman" w:hAnsi="Times New Roman" w:eastAsia="Times New Roman" w:cs="Times New Roman"/>
            <w:color w:val="0000FF"/>
            <w:sz w:val="24"/>
            <w:szCs w:val="24"/>
            <w:u w:val="single" w:color="000000"/>
          </w:rPr>
          <w:t xml:space="preserve">(2)A.3.1._1: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insan kaynakları yönetimi birimi olmayıp üniversitenin insan kaynakları yönetim sistemi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insan kaynakları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kendine özgü bir finansal yönetim sistemi bulunmaktadır. Bu finansal yönetim Trabzon Büyükşehir Belediyesi, Gençlik ve Spor Bakanlığı ve Trabzon Üniversitesi’nin ortaya koyduğu finansal yönetimine tabi olarak faaliyetlerini yürütmektedir.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finansal kaynakların yönetimine ilişkin olarak stratejik hedefler ile uyumlu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84667b2333cddfe5" w:history="1">
        <w:r>
          <w:rPr>
            <w:rStyle w:val="DefaultParagraphFontPHPDOCX"/>
            <w:rFonts w:ascii="Times New Roman" w:hAnsi="Times New Roman" w:eastAsia="Times New Roman" w:cs="Times New Roman"/>
            <w:color w:val="0000FF"/>
            <w:sz w:val="24"/>
            <w:szCs w:val="24"/>
            <w:u w:val="single" w:color="000000"/>
          </w:rPr>
          <w:t xml:space="preserve">(2)A.3.3._1: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kendine özgü bir süreç yönetim sistemi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eğitim ve öğretim, araştırma ve geliştirme, toplumsal katkı ve yönetim sistemi süreç ve alt süreçleri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56667b2333cde2f9" w:history="1">
        <w:r>
          <w:rPr>
            <w:rStyle w:val="DefaultParagraphFontPHPDOCX"/>
            <w:rFonts w:ascii="Times New Roman" w:hAnsi="Times New Roman" w:eastAsia="Times New Roman" w:cs="Times New Roman"/>
            <w:color w:val="0000FF"/>
            <w:sz w:val="24"/>
            <w:szCs w:val="24"/>
            <w:u w:val="single" w:color="000000"/>
          </w:rPr>
          <w:t xml:space="preserve">(2)A.3.4._1: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**Tohum Sporcular:** Trabzon İl Milli Eğitim Müdürlüğü Performans Merkezi, Spor Bakanlığı'na bağlı tohum sporcuların gelişimini desteklemek için çeşitli çalışmalar yürütmektedir. Bu çalışmalar kapsamında, merkezimiz aşağıdaki gibi paydaş katılımına önem vermektedir: * **Sporcuların ve Antrenörlerinin Görüşleri:** Merkezimiz, düzenli olarak sporcular ve antrenörleriyle görüşmeler gerçekleştirerek, performans ölçümleri ve merkezin sunduğu diğer hizmetler hakkındaki görüş ve önerilerini almaktadır. * **Geri Bildirim Anketleri:** Sporculara ve antrenörlere yönelik geri bildirim anketleri düzenlenerek, merkezin hizmetlerinin iyileştirilmesine yönelik öneriler toplanmaktadır. * **Ortak Çalışma Grupları:** Sporcuların ve antrenörlerin temsilcilerinin de yer aldığı ortak çalışma grupları oluşturularak, merkezin faaliyetlerine ilişkin fikir alışverişi yapılmaktadır. * **Bilgilendirme ve Farkındalık Çalışmaları:** Sporculara ve antrenörlere performans ölçümleri ve merkezin sunduğu diğer hizmetler hakkında bilgi verilmesi için çeşitli eğitim ve bilgilendirme çalışmaları yapılmaktadır. Bu uygulamalar ile Trabzon İl Milli Eğitim Müdürlüğü Performans Merkezi, tohum sporcuların gelişimine katkıda bulunmak için paydaşlarla yakın bir iş birliği içinde çalışmaktadır. Paydaşların geri bildirimleri, merkezin hizmetlerini geliştirmek ve sporcuların ihtiyaçlarını daha iyi karşılamak için önemli bir kaynak olarak değerlendirilmektedir. ## Örnek Gösterilebilir Uygulamalar * **Sporcuların ve Antrenörlerinin Katılımı:** Merkezimiz tarafından düzenlenen toplantılara ve anketlere sporcuların ve antrenörlerin yüksek katılımı, paydaşların merkezin faaliyetlerine olan ilgisini ve desteğini göstermektedir. * **Geri Bildirimlerin Değerlendirilmesi:** Sporcuların ve antrenörlerin geri bildirimleri, merkezin hizmetlerini geliştirmek için kullanılmaktadır. Bu sayede, merkezin sunduğu hizmetler sporcuların ihtiyaç ve taleplerine daha uyumlu hale getirilmektedir. * **Ortak Çalışma Gruplarının Başarısı:** Ortak çalışma grupları, sporcuların ve antrenörlerin merkezin faaliyetlerine aktif bir şekilde katılmalarını ve fikirlerini paylaşmalarını sağlamaktadır. * **Bilgilendirme ve Farkındalık Çalışmalarının Etkisi:** Bilgilendirme ve farkındalık çalışmaları, sporcuların ve antrenörlerin performans ölçümleri ve merkezin sunduğu diğer hizmetler hakkındaki bilgi ve farkındalığını artırmaktadır. Bu uygulamalar, Trabzon İl Milli Eğitim Müdürlüğü Performans Merkezi'nin paydaş katılımına verdiği önemi ve bu konudaki başarısını göstermektedir.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kalite güvencesi, eğitim ve öğretim, araştırma ve geliştirme, toplumsal katkı, yönetim sistemi ve uluslararasılaşma süreçlerinin PUKÖ katmanlarına paydaş katılımını sağlamak için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77967b2333cde65a" w:history="1">
        <w:r>
          <w:rPr>
            <w:rStyle w:val="DefaultParagraphFontPHPDOCX"/>
            <w:rFonts w:ascii="Times New Roman" w:hAnsi="Times New Roman" w:eastAsia="Times New Roman" w:cs="Times New Roman"/>
            <w:color w:val="0000FF"/>
            <w:sz w:val="24"/>
            <w:szCs w:val="24"/>
            <w:u w:val="single" w:color="000000"/>
          </w:rPr>
          <w:t xml:space="preserve">(2)A.4.1._1: 1</w:t>
        </w:r>
      </w:hyperlink>
    </w:p>
    <w:p>
      <w:pPr>
        <w:widowControl w:val="on"/>
        <w:pBdr/>
        <w:spacing w:before="240" w:after="240" w:line="240" w:lineRule="auto"/>
        <w:ind w:left="0" w:right="0"/>
        <w:jc w:val="left"/>
      </w:pPr>
      <w:hyperlink xmlns:r="http://schemas.openxmlformats.org/officeDocument/2006/relationships" r:id="rId389767b2333cde6d4" w:history="1">
        <w:r>
          <w:rPr>
            <w:rStyle w:val="DefaultParagraphFontPHPDOCX"/>
            <w:rFonts w:ascii="Times New Roman" w:hAnsi="Times New Roman" w:eastAsia="Times New Roman" w:cs="Times New Roman"/>
            <w:color w:val="0000FF"/>
            <w:sz w:val="24"/>
            <w:szCs w:val="24"/>
            <w:u w:val="single" w:color="000000"/>
          </w:rPr>
          <w:t xml:space="preserve">(2)A.4.1._2: 2</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öğrenci geri bildirimlerini almada danışmanlık yönergesine göre birimde danışmanlar her akademik yılda, öğrencilere ders kayıtları ve diğer işlemleri ile ilgili konularda gerek yüz yüze gerek e-posta ve diğer iletişim yollarıyla destek sağlayıp öğrenci geri bildirimlerini almaktadır. Ayrıca, merkez internet sayfalarında öğrencilerin ulaşabileceği e-posta adresleri, iletişim numaraları ve sosyal medya adresleri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öğretim süreçlerine ilişkin olarak öğrencilerin geri bildirimlerinin (ders, dersin öğretim elemanı, program, öğrenci iş yükü vb.) alınmasına ilişkin ilke ve kurallar oluşturulmuştur.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31367b2333cde9d4" w:history="1">
        <w:r>
          <w:rPr>
            <w:rStyle w:val="DefaultParagraphFontPHPDOCX"/>
            <w:rFonts w:ascii="Times New Roman" w:hAnsi="Times New Roman" w:eastAsia="Times New Roman" w:cs="Times New Roman"/>
            <w:color w:val="0000FF"/>
            <w:sz w:val="24"/>
            <w:szCs w:val="24"/>
            <w:u w:val="single" w:color="000000"/>
          </w:rPr>
          <w:t xml:space="preserve">(2)A.4.2._1: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Trabzon Üniversitesi sisteminde bulunan mezun.trabzon.edu.tr adresi üzerinden iletişimini sürdürmektedir.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mezun izleme sistemi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Üniversitede Erasmus+ ve benzeri programlar, Rektörlük bünyesinde kurulan Dış İlişkiler Kurum Koordinatörlüğü tarafından başarıyla yürütülmektedir (https://ofinaf.trabzon.edu.tr/ ). Trabzon Üniversitesi Dış İlişkiler Kurum Koordinatörlüğü bünyesinde Erasmus+ Öğrenci Öğrenim Hareketliliği, Erasmus+ Öğrenci Staj Hareketliliği, Erasmus+ Personel Ders Verme Hareketliliği ve Erasmus+ Personel Eğitim Alma Hareketliliği kapsamındaki uygulamalar web sayfası üzerinden ilana çıkma, gerekli olan sınavları yerine getirme, sınav sonuçlarını ilan etme, seçme ve yerleştirme sürecini organize etme, adaylık sürecini sağlama ve hareketlilik için gerekli belgelerin takibi şeklinde yürütülmekte olup, gerekli bilgi ve belgeler birim internet sayfasından ulaşılabilmektedir (https://ofinaf.trabzon.edu.tr/). Tüm bu uygulamalar “Trabzon Üniversitesi Erasmus Beyannamesi” ve “Ulusal Ajansın Erasmus+ Hareketliliği” (https://www.ua.gov.tr/anasayfa/icerikler/erasmus-nedir/ ) kapsamında ortaya konulan yönergelere bağlı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uluslararasılaşma süreçlerinin yönetim ve organizasyonel yapısına ilişkin planlamalar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59667b2333cdef35" w:history="1">
        <w:r>
          <w:rPr>
            <w:rStyle w:val="DefaultParagraphFontPHPDOCX"/>
            <w:rFonts w:ascii="Times New Roman" w:hAnsi="Times New Roman" w:eastAsia="Times New Roman" w:cs="Times New Roman"/>
            <w:color w:val="0000FF"/>
            <w:sz w:val="24"/>
            <w:szCs w:val="24"/>
            <w:u w:val="single" w:color="000000"/>
          </w:rPr>
          <w:t xml:space="preserve">(2)A.5.1._1: 1</w:t>
        </w:r>
      </w:hyperlink>
    </w:p>
    <w:p>
      <w:pPr>
        <w:widowControl w:val="on"/>
        <w:pBdr/>
        <w:spacing w:before="240" w:after="240" w:line="240" w:lineRule="auto"/>
        <w:ind w:left="0" w:right="0"/>
        <w:jc w:val="left"/>
      </w:pPr>
      <w:hyperlink xmlns:r="http://schemas.openxmlformats.org/officeDocument/2006/relationships" r:id="rId910567b2333cdefac" w:history="1">
        <w:r>
          <w:rPr>
            <w:rStyle w:val="DefaultParagraphFontPHPDOCX"/>
            <w:rFonts w:ascii="Times New Roman" w:hAnsi="Times New Roman" w:eastAsia="Times New Roman" w:cs="Times New Roman"/>
            <w:color w:val="0000FF"/>
            <w:sz w:val="24"/>
            <w:szCs w:val="24"/>
            <w:u w:val="single" w:color="000000"/>
          </w:rPr>
          <w:t xml:space="preserve">(2)A.5.1._2: 2</w:t>
        </w:r>
      </w:hyperlink>
    </w:p>
    <w:p>
      <w:pPr>
        <w:widowControl w:val="on"/>
        <w:pBdr/>
        <w:spacing w:before="240" w:after="240" w:line="240" w:lineRule="auto"/>
        <w:ind w:left="0" w:right="0"/>
        <w:jc w:val="left"/>
      </w:pPr>
      <w:hyperlink xmlns:r="http://schemas.openxmlformats.org/officeDocument/2006/relationships" r:id="rId488567b2333cdf023" w:history="1">
        <w:r>
          <w:rPr>
            <w:rStyle w:val="DefaultParagraphFontPHPDOCX"/>
            <w:rFonts w:ascii="Times New Roman" w:hAnsi="Times New Roman" w:eastAsia="Times New Roman" w:cs="Times New Roman"/>
            <w:color w:val="0000FF"/>
            <w:sz w:val="24"/>
            <w:szCs w:val="24"/>
            <w:u w:val="single" w:color="000000"/>
          </w:rPr>
          <w:t xml:space="preserve">(2)A.5.1._3: 2</w:t>
        </w:r>
      </w:hyperlink>
    </w:p>
    <w:p>
      <w:pPr>
        <w:widowControl w:val="on"/>
        <w:pBdr/>
        <w:spacing w:before="240" w:after="240" w:line="240" w:lineRule="auto"/>
        <w:ind w:left="0" w:right="0"/>
        <w:jc w:val="left"/>
      </w:pPr>
      <w:hyperlink xmlns:r="http://schemas.openxmlformats.org/officeDocument/2006/relationships" r:id="rId176567b2333cdf09a" w:history="1">
        <w:r>
          <w:rPr>
            <w:rStyle w:val="DefaultParagraphFontPHPDOCX"/>
            <w:rFonts w:ascii="Times New Roman" w:hAnsi="Times New Roman" w:eastAsia="Times New Roman" w:cs="Times New Roman"/>
            <w:color w:val="0000FF"/>
            <w:sz w:val="24"/>
            <w:szCs w:val="24"/>
            <w:u w:val="single" w:color="000000"/>
          </w:rPr>
          <w:t xml:space="preserve">(2)A.5.1._4: 2</w:t>
        </w:r>
      </w:hyperlink>
    </w:p>
    <w:p>
      <w:pPr>
        <w:widowControl w:val="on"/>
        <w:pBdr/>
        <w:spacing w:before="240" w:after="240" w:line="240" w:lineRule="auto"/>
        <w:ind w:left="0" w:right="0"/>
        <w:jc w:val="left"/>
      </w:pPr>
      <w:hyperlink xmlns:r="http://schemas.openxmlformats.org/officeDocument/2006/relationships" r:id="rId596567b2333cdf10f" w:history="1">
        <w:r>
          <w:rPr>
            <w:rStyle w:val="DefaultParagraphFontPHPDOCX"/>
            <w:rFonts w:ascii="Times New Roman" w:hAnsi="Times New Roman" w:eastAsia="Times New Roman" w:cs="Times New Roman"/>
            <w:color w:val="0000FF"/>
            <w:sz w:val="24"/>
            <w:szCs w:val="24"/>
            <w:u w:val="single" w:color="000000"/>
          </w:rPr>
          <w:t xml:space="preserve">(2)A.5.1._5: 2</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Merkezi'nde erasmus+ personel hareketleri ve Uluslarası projeler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uluslararasılaşma politikasıyla uyumlu faaliyetlere yönelik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38867b2333cdf615" w:history="1">
        <w:r>
          <w:rPr>
            <w:rStyle w:val="DefaultParagraphFontPHPDOCX"/>
            <w:rFonts w:ascii="Times New Roman" w:hAnsi="Times New Roman" w:eastAsia="Times New Roman" w:cs="Times New Roman"/>
            <w:color w:val="0000FF"/>
            <w:sz w:val="24"/>
            <w:szCs w:val="24"/>
            <w:u w:val="single" w:color="000000"/>
          </w:rPr>
          <w:t xml:space="preserve">(2)A.5.3._1: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programların tasarımı ve onayına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dağılımına ilişkin, ilke ve yöntemler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kazanımları program çıktıları ile eşleştirilmemiştir.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Dersler öğrenci iş yüküne dayalı olarak tasarlanmamıştır.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 çıktılarının izlenmesine ve güncellenmesine ilişkin mekanizma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eğitim ve öğretim süreçlerini bütüncül olarak yönetmek üzere bir sistem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Öğrenme-öğretme süreçlerinde öğrenci merkezli yaklaşımlar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Programlarda öğrenci merkezli ölçme ve değerlendirme yaklaşımları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 kabulü, önceki öğrenmenin tanınması ve kredilendirilmesine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kabulü, önceki öğrenmenin tanınması ve kredilendirilmesine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diploma onayı ve diğer yeterliliklerin sertifikalandırılmasına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diploma onayı ve diğer yeterliliklerin sertifikalandırılmasına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Gerekli eğitimlerin verilmesi için ofis ve merkezlerimiz, öğrenme kaynaklarının (sınıf, laboratuvar, stüdyo, öğrenme yönetim sistemi, basılı/e-kaynak ve materyal, insan kaynakları vb.) oluşturulmasına yönelik planları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eğitim-öğretim faaliyetlerini sürdürebilmek için uygun nitelik ve nicelikte öğrenme kaynaklarının (sınıf, laboratuvar, stüdyo, öğrenme yönetim sistemi, basılı/e-kaynak ve materyal, insan kaynakları vb.) oluşturulmasına yönelik planları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24567b2333ce0bcd" w:history="1">
        <w:r>
          <w:rPr>
            <w:rStyle w:val="DefaultParagraphFontPHPDOCX"/>
            <w:rFonts w:ascii="Times New Roman" w:hAnsi="Times New Roman" w:eastAsia="Times New Roman" w:cs="Times New Roman"/>
            <w:color w:val="0000FF"/>
            <w:sz w:val="24"/>
            <w:szCs w:val="24"/>
            <w:u w:val="single" w:color="000000"/>
          </w:rPr>
          <w:t xml:space="preserve">(2)B.3.1._1: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öğrencilerin akademik gelişimi ve kariyer planlamasına yönelik destek hizmetleri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öğrencilerin akademik gelişimi ve kariyer planlamasına yönelik destek hizmetleri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Merkezimizde genelinde tesis ve altyapı erişilebilirdir ve bunlardan fırsat eşitliğine dayalı olarak yararlanılmaktadır.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tesis ve altyapı erişilebilirdir ve bunlardan fırsat eşitliğine dayalı olarak yararlanılmaktadır.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08567b2333ce10db" w:history="1">
        <w:r>
          <w:rPr>
            <w:rStyle w:val="DefaultParagraphFontPHPDOCX"/>
            <w:rFonts w:ascii="Times New Roman" w:hAnsi="Times New Roman" w:eastAsia="Times New Roman" w:cs="Times New Roman"/>
            <w:color w:val="0000FF"/>
            <w:sz w:val="24"/>
            <w:szCs w:val="24"/>
            <w:u w:val="single" w:color="000000"/>
          </w:rPr>
          <w:t xml:space="preserve">(2)B.3.3._1: 1</w:t>
        </w:r>
      </w:hyperlink>
    </w:p>
    <w:p>
      <w:pPr>
        <w:widowControl w:val="on"/>
        <w:pBdr/>
        <w:spacing w:before="240" w:after="240" w:line="240" w:lineRule="auto"/>
        <w:ind w:left="0" w:right="0"/>
        <w:jc w:val="left"/>
      </w:pPr>
      <w:hyperlink xmlns:r="http://schemas.openxmlformats.org/officeDocument/2006/relationships" r:id="rId731567b2333ce1151" w:history="1">
        <w:r>
          <w:rPr>
            <w:rStyle w:val="DefaultParagraphFontPHPDOCX"/>
            <w:rFonts w:ascii="Times New Roman" w:hAnsi="Times New Roman" w:eastAsia="Times New Roman" w:cs="Times New Roman"/>
            <w:color w:val="0000FF"/>
            <w:sz w:val="24"/>
            <w:szCs w:val="24"/>
            <w:u w:val="single" w:color="000000"/>
          </w:rPr>
          <w:t xml:space="preserve">(3)B.3.3._2: 2</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dezavantajlı grupların eğitim olanaklarına erişimine ilişkin planlamalar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dezavantajlı grupların eğitim olanaklarına erişimine ilişkin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 bünyesinde sportif faaliyetlerin tamamı çeşitlendirilmekte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sosyal, kültürel ve sportif faaliyetler erişilebilirdir ve bunlardan fırsat eşitliğine dayalı olarak yararlanılmaktadır.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41267b2333ce1664" w:history="1">
        <w:r>
          <w:rPr>
            <w:rStyle w:val="DefaultParagraphFontPHPDOCX"/>
            <w:rFonts w:ascii="Times New Roman" w:hAnsi="Times New Roman" w:eastAsia="Times New Roman" w:cs="Times New Roman"/>
            <w:color w:val="0000FF"/>
            <w:sz w:val="24"/>
            <w:szCs w:val="24"/>
            <w:u w:val="single" w:color="000000"/>
          </w:rPr>
          <w:t xml:space="preserve">(2)B.3.5._1: 1</w:t>
        </w:r>
      </w:hyperlink>
    </w:p>
    <w:p>
      <w:pPr>
        <w:widowControl w:val="on"/>
        <w:pBdr/>
        <w:spacing w:before="240" w:after="240" w:line="240" w:lineRule="auto"/>
        <w:ind w:left="0" w:right="0"/>
        <w:jc w:val="left"/>
      </w:pPr>
      <w:hyperlink xmlns:r="http://schemas.openxmlformats.org/officeDocument/2006/relationships" r:id="rId444067b2333ce16da" w:history="1">
        <w:r>
          <w:rPr>
            <w:rStyle w:val="DefaultParagraphFontPHPDOCX"/>
            <w:rFonts w:ascii="Times New Roman" w:hAnsi="Times New Roman" w:eastAsia="Times New Roman" w:cs="Times New Roman"/>
            <w:color w:val="0000FF"/>
            <w:sz w:val="24"/>
            <w:szCs w:val="24"/>
            <w:u w:val="single" w:color="000000"/>
          </w:rPr>
          <w:t xml:space="preserve">(3)B.3.5._2: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atama, yükseltme ve görevlendirme süreçleri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Üniversitenin planları takip edilmektedir. Öğretim kadrosunun eğitim faaliyetlerine yönelik teşvik ve ödüllendirme mekanizmalarının bulunmaması bir eksikliktir. Birimimizde akademik teşvik ödeneği alan öğretim elemanlarımız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Öğretim kadrosuna yönelik teşvik ve ödüllendirilme mekanizmaları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SPDM, araştırma süreçlerini aşağıdaki şekilde yönetmektedir: Araştırma konularının belirlenmesi Araştırma projelerinin hazırlanması Araştırma fonlarının sağlanması Araştırma etik ilkelerine uyulması Araştırma bulgularının yayınlanması C.1.2. Araştırma Kaynakları SPDM, araştırmacılara aşağıdaki gibi çeşitli araştırma kaynakları sunmaktadır: Laboratuvarlar Araştırma fonları Akademik danışmanlık Kütüphane Bilgisayar laboratuvarı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araştırma süreçlerinin yönetimi ve organizasyonel yapısına ilişkin yönlendirme ve motive etme gibi hususları dikkate alan planlamaları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83767b2333ce204c" w:history="1">
        <w:r>
          <w:rPr>
            <w:rStyle w:val="DefaultParagraphFontPHPDOCX"/>
            <w:rFonts w:ascii="Times New Roman" w:hAnsi="Times New Roman" w:eastAsia="Times New Roman" w:cs="Times New Roman"/>
            <w:color w:val="0000FF"/>
            <w:sz w:val="24"/>
            <w:szCs w:val="24"/>
            <w:u w:val="single" w:color="000000"/>
          </w:rPr>
          <w:t xml:space="preserve">(2)C.1.1._1: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araştırma ve geliştirme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araştırma ve geliştirme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17267b2333ce233d" w:history="1">
        <w:r>
          <w:rPr>
            <w:rStyle w:val="DefaultParagraphFontPHPDOCX"/>
            <w:rFonts w:ascii="Times New Roman" w:hAnsi="Times New Roman" w:eastAsia="Times New Roman" w:cs="Times New Roman"/>
            <w:color w:val="0000FF"/>
            <w:sz w:val="24"/>
            <w:szCs w:val="24"/>
            <w:u w:val="single" w:color="000000"/>
          </w:rPr>
          <w:t xml:space="preserve">(2)C.1.2._1: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Merkezimizde , öğretim elemanlarının araştırma yetkinliğinin geliştirilmesine yönelik planlar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yetkinliğinin geliştirilmesine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Tübitak Uluslararası ve Erasmus projelerimiz devam 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ulusal ve uluslararası düzeyde ortak programlar ve ortak araştırma birimleri ile araştırma ağlarına katılım ve iş birlikleri kurma gibi çoklu araştırma faaliyetlerine yönelik planlamalar ve mekanizmalar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77067b2333ce2a3d" w:history="1">
        <w:r>
          <w:rPr>
            <w:rStyle w:val="DefaultParagraphFontPHPDOCX"/>
            <w:rFonts w:ascii="Times New Roman" w:hAnsi="Times New Roman" w:eastAsia="Times New Roman" w:cs="Times New Roman"/>
            <w:color w:val="0000FF"/>
            <w:sz w:val="24"/>
            <w:szCs w:val="24"/>
            <w:u w:val="single" w:color="000000"/>
          </w:rPr>
          <w:t xml:space="preserve">(2)C.2.2._1: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öğretim elemanlarının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toplumsal katkı süreçlerinin yönetimi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süreçlerinin yönetimi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Spor Bakanlığı ve Sanayi ve Teknoloji Bakanlığı ile görüşmeler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toplumsal katkı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71867b2333ce3460" w:history="1">
        <w:r>
          <w:rPr>
            <w:rStyle w:val="DefaultParagraphFontPHPDOCX"/>
            <w:rFonts w:ascii="Times New Roman" w:hAnsi="Times New Roman" w:eastAsia="Times New Roman" w:cs="Times New Roman"/>
            <w:color w:val="0000FF"/>
            <w:sz w:val="24"/>
            <w:szCs w:val="24"/>
            <w:u w:val="single" w:color="000000"/>
          </w:rPr>
          <w:t xml:space="preserve">(2)D.1.2._1: 1</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Birim/Bölümün güçlü ve gelişmeye açık yönlerinin </w:t>
      </w:r>
      <w:r>
        <w:rPr>
          <w:rFonts w:ascii="times new roman" w:hAnsi="times new roman" w:eastAsia="times new roman" w:cs="times new roman"/>
          <w:b/>
          <w:bCs/>
          <w:color w:val="000000"/>
          <w:sz w:val="24"/>
          <w:szCs w:val="24"/>
        </w:rPr>
        <w:t xml:space="preserve">Liderlik, Yönetişim ve Kalite, Eğitim ve Öğretim, Araştırma ve Geliştirme ile Toplumsal Katkı</w:t>
      </w:r>
      <w:r>
        <w:rPr>
          <w:rFonts w:ascii="times new roman" w:hAnsi="times new roman" w:eastAsia="times new roman" w:cs="times new roman"/>
          <w:color w:val="000000"/>
          <w:sz w:val="24"/>
          <w:szCs w:val="24"/>
        </w:rPr>
        <w:t xml:space="preserve"> başlıkları altında özet olarak sunulması beklenmektedir. Birim/Bölüm daha önce bir dış değerlendirme sürecinden geçmiş ve kuruma sunulmuş bir KGBR/KAR/ İzleme Raporu/ Ara Değerlendirme Raporu varsa bu rapor(lar)da belirtilen gelişmeye açık yönlerin giderilmesi için alınan önlemler, gerçekleştirilen faaliyetler sonucunda sağlanan iyileştirmeler ve ilerleme kaydedilemeyen noktaların neler olduğu açıkça sunulmalı ve mevcut durum değerlendirmesi ayrıntılı olarak verilmelidir.</w:t>
      </w:r>
    </w:p>
    <w:p>
      <w:r>
        <w:br w:type="page"/>
      </w:r>
    </w:p>
    <w:p>
      <w:pPr>
        <w:widowControl w:val="on"/>
        <w:pBdr/>
        <w:spacing w:before="281" w:after="281" w:line="240" w:lineRule="auto"/>
        <w:ind w:left="0" w:right="0"/>
        <w:jc w:val="left"/>
        <w:outlineLvl w:val="2"/>
      </w:pPr>
      <w:r>
        <w:rPr>
          <w:b/>
          <w:bCs/>
          <w:color w:val="000000"/>
          <w:sz w:val="28"/>
          <w:szCs w:val="28"/>
        </w:rPr>
        <w:t xml:space="preserve">BİRİM İÇ DEĞERLENDİRME RAPORU BEYANI</w:t>
      </w:r>
    </w:p>
    <w:p/>
    <w:p/>
    <w:p>
      <w:pPr>
        <w:widowControl w:val="on"/>
        <w:pBdr/>
        <w:spacing w:before="240" w:after="240" w:line="240" w:lineRule="auto"/>
        <w:ind w:left="0" w:right="0"/>
        <w:jc w:val="both"/>
      </w:pPr>
      <w:r>
        <w:rPr>
          <w:color w:val="000000"/>
          <w:sz w:val="24"/>
          <w:szCs w:val="24"/>
        </w:rPr>
        <w:t xml:space="preserve">         Bu Raporda yer alan bilgilerin ve kanıtların güvenilir, doğru ve tam olduğunu, Rapor içeriğinde yer alan bilgilerin 2024 yılı içerisinde gerçekleşen faaliyetler ve uygulamalara dayandığını, Raporun YÖKAK tarafından belirtilen yazım kurallarına ve içeriğine uygun olduğunu, kanıt kullanımında KVKK hükümlerine dikkat edildiğini beyan ve taahhüt ederim.</w:t>
      </w:r>
    </w:p>
    <w:p/>
    <w:p/>
    <w:p>
      <w:pPr>
        <w:widowControl w:val="on"/>
        <w:pBdr/>
        <w:spacing w:before="240" w:after="240" w:line="240" w:lineRule="auto"/>
        <w:ind w:left="0" w:right="0"/>
        <w:jc w:val="right"/>
      </w:pPr>
      <w:r>
        <w:rPr>
          <w:color w:val="000000"/>
          <w:sz w:val="24"/>
          <w:szCs w:val="24"/>
        </w:rPr>
        <w:t xml:space="preserve">Onay Tarihi</w:t>
      </w:r>
    </w:p>
    <w:p>
      <w:pPr>
        <w:widowControl w:val="on"/>
        <w:pBdr/>
        <w:spacing w:before="240" w:after="240" w:line="240" w:lineRule="auto"/>
        <w:ind w:left="0" w:right="0"/>
        <w:jc w:val="right"/>
      </w:pPr>
      <w:r>
        <w:rPr>
          <w:color w:val="000000"/>
          <w:sz w:val="24"/>
          <w:szCs w:val="24"/>
        </w:rPr>
        <w:t xml:space="preserve">Ünvan Ad Soyad</w:t>
      </w:r>
    </w:p>
    <w:p>
      <w:pPr>
        <w:widowControl w:val="on"/>
        <w:pBdr/>
        <w:spacing w:before="240" w:after="240" w:line="240" w:lineRule="auto"/>
        <w:ind w:left="0" w:right="0"/>
        <w:jc w:val="right"/>
      </w:pPr>
      <w:r>
        <w:rPr>
          <w:color w:val="000000"/>
          <w:sz w:val="24"/>
          <w:szCs w:val="24"/>
        </w:rPr>
        <w:t xml:space="preserve">Makam</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8580">
    <w:multiLevelType w:val="hybridMultilevel"/>
    <w:lvl w:ilvl="0" w:tplc="45269207">
      <w:start w:val="1"/>
      <w:numFmt w:val="decimal"/>
      <w:lvlText w:val="%1."/>
      <w:lvlJc w:val="left"/>
      <w:pPr>
        <w:ind w:left="720" w:hanging="360"/>
      </w:pPr>
    </w:lvl>
    <w:lvl w:ilvl="1" w:tplc="45269207" w:tentative="1">
      <w:start w:val="1"/>
      <w:numFmt w:val="lowerLetter"/>
      <w:lvlText w:val="%2."/>
      <w:lvlJc w:val="left"/>
      <w:pPr>
        <w:ind w:left="1440" w:hanging="360"/>
      </w:pPr>
    </w:lvl>
    <w:lvl w:ilvl="2" w:tplc="45269207" w:tentative="1">
      <w:start w:val="1"/>
      <w:numFmt w:val="lowerRoman"/>
      <w:lvlText w:val="%3."/>
      <w:lvlJc w:val="right"/>
      <w:pPr>
        <w:ind w:left="2160" w:hanging="180"/>
      </w:pPr>
    </w:lvl>
    <w:lvl w:ilvl="3" w:tplc="45269207" w:tentative="1">
      <w:start w:val="1"/>
      <w:numFmt w:val="decimal"/>
      <w:lvlText w:val="%4."/>
      <w:lvlJc w:val="left"/>
      <w:pPr>
        <w:ind w:left="2880" w:hanging="360"/>
      </w:pPr>
    </w:lvl>
    <w:lvl w:ilvl="4" w:tplc="45269207" w:tentative="1">
      <w:start w:val="1"/>
      <w:numFmt w:val="lowerLetter"/>
      <w:lvlText w:val="%5."/>
      <w:lvlJc w:val="left"/>
      <w:pPr>
        <w:ind w:left="3600" w:hanging="360"/>
      </w:pPr>
    </w:lvl>
    <w:lvl w:ilvl="5" w:tplc="45269207" w:tentative="1">
      <w:start w:val="1"/>
      <w:numFmt w:val="lowerRoman"/>
      <w:lvlText w:val="%6."/>
      <w:lvlJc w:val="right"/>
      <w:pPr>
        <w:ind w:left="4320" w:hanging="180"/>
      </w:pPr>
    </w:lvl>
    <w:lvl w:ilvl="6" w:tplc="45269207" w:tentative="1">
      <w:start w:val="1"/>
      <w:numFmt w:val="decimal"/>
      <w:lvlText w:val="%7."/>
      <w:lvlJc w:val="left"/>
      <w:pPr>
        <w:ind w:left="5040" w:hanging="360"/>
      </w:pPr>
    </w:lvl>
    <w:lvl w:ilvl="7" w:tplc="45269207" w:tentative="1">
      <w:start w:val="1"/>
      <w:numFmt w:val="lowerLetter"/>
      <w:lvlText w:val="%8."/>
      <w:lvlJc w:val="left"/>
      <w:pPr>
        <w:ind w:left="5760" w:hanging="360"/>
      </w:pPr>
    </w:lvl>
    <w:lvl w:ilvl="8" w:tplc="45269207" w:tentative="1">
      <w:start w:val="1"/>
      <w:numFmt w:val="lowerRoman"/>
      <w:lvlText w:val="%9."/>
      <w:lvlJc w:val="right"/>
      <w:pPr>
        <w:ind w:left="6480" w:hanging="180"/>
      </w:pPr>
    </w:lvl>
  </w:abstractNum>
  <w:abstractNum w:abstractNumId="19169">
    <w:multiLevelType w:val="hybridMultilevel"/>
    <w:lvl w:ilvl="0" w:tplc="21962120">
      <w:start w:val="1"/>
      <w:numFmt w:val="decimal"/>
      <w:lvlText w:val="%1."/>
      <w:lvlJc w:val="left"/>
      <w:pPr>
        <w:ind w:left="720" w:hanging="360"/>
      </w:pPr>
    </w:lvl>
    <w:lvl w:ilvl="1" w:tplc="21962120" w:tentative="1">
      <w:start w:val="1"/>
      <w:numFmt w:val="lowerLetter"/>
      <w:lvlText w:val="%2."/>
      <w:lvlJc w:val="left"/>
      <w:pPr>
        <w:ind w:left="1440" w:hanging="360"/>
      </w:pPr>
    </w:lvl>
    <w:lvl w:ilvl="2" w:tplc="21962120" w:tentative="1">
      <w:start w:val="1"/>
      <w:numFmt w:val="lowerRoman"/>
      <w:lvlText w:val="%3."/>
      <w:lvlJc w:val="right"/>
      <w:pPr>
        <w:ind w:left="2160" w:hanging="180"/>
      </w:pPr>
    </w:lvl>
    <w:lvl w:ilvl="3" w:tplc="21962120" w:tentative="1">
      <w:start w:val="1"/>
      <w:numFmt w:val="decimal"/>
      <w:lvlText w:val="%4."/>
      <w:lvlJc w:val="left"/>
      <w:pPr>
        <w:ind w:left="2880" w:hanging="360"/>
      </w:pPr>
    </w:lvl>
    <w:lvl w:ilvl="4" w:tplc="21962120" w:tentative="1">
      <w:start w:val="1"/>
      <w:numFmt w:val="lowerLetter"/>
      <w:lvlText w:val="%5."/>
      <w:lvlJc w:val="left"/>
      <w:pPr>
        <w:ind w:left="3600" w:hanging="360"/>
      </w:pPr>
    </w:lvl>
    <w:lvl w:ilvl="5" w:tplc="21962120" w:tentative="1">
      <w:start w:val="1"/>
      <w:numFmt w:val="lowerRoman"/>
      <w:lvlText w:val="%6."/>
      <w:lvlJc w:val="right"/>
      <w:pPr>
        <w:ind w:left="4320" w:hanging="180"/>
      </w:pPr>
    </w:lvl>
    <w:lvl w:ilvl="6" w:tplc="21962120" w:tentative="1">
      <w:start w:val="1"/>
      <w:numFmt w:val="decimal"/>
      <w:lvlText w:val="%7."/>
      <w:lvlJc w:val="left"/>
      <w:pPr>
        <w:ind w:left="5040" w:hanging="360"/>
      </w:pPr>
    </w:lvl>
    <w:lvl w:ilvl="7" w:tplc="21962120" w:tentative="1">
      <w:start w:val="1"/>
      <w:numFmt w:val="lowerLetter"/>
      <w:lvlText w:val="%8."/>
      <w:lvlJc w:val="left"/>
      <w:pPr>
        <w:ind w:left="5760" w:hanging="360"/>
      </w:pPr>
    </w:lvl>
    <w:lvl w:ilvl="8" w:tplc="21962120" w:tentative="1">
      <w:start w:val="1"/>
      <w:numFmt w:val="lowerRoman"/>
      <w:lvlText w:val="%9."/>
      <w:lvlJc w:val="right"/>
      <w:pPr>
        <w:ind w:left="6480" w:hanging="180"/>
      </w:pPr>
    </w:lvl>
  </w:abstractNum>
  <w:abstractNum w:abstractNumId="15947">
    <w:multiLevelType w:val="hybridMultilevel"/>
    <w:lvl w:ilvl="0" w:tplc="20427320">
      <w:start w:val="1"/>
      <w:numFmt w:val="decimal"/>
      <w:lvlText w:val="%1."/>
      <w:lvlJc w:val="left"/>
      <w:pPr>
        <w:ind w:left="720" w:hanging="360"/>
      </w:pPr>
    </w:lvl>
    <w:lvl w:ilvl="1" w:tplc="20427320" w:tentative="1">
      <w:start w:val="1"/>
      <w:numFmt w:val="lowerLetter"/>
      <w:lvlText w:val="%2."/>
      <w:lvlJc w:val="left"/>
      <w:pPr>
        <w:ind w:left="1440" w:hanging="360"/>
      </w:pPr>
    </w:lvl>
    <w:lvl w:ilvl="2" w:tplc="20427320" w:tentative="1">
      <w:start w:val="1"/>
      <w:numFmt w:val="lowerRoman"/>
      <w:lvlText w:val="%3."/>
      <w:lvlJc w:val="right"/>
      <w:pPr>
        <w:ind w:left="2160" w:hanging="180"/>
      </w:pPr>
    </w:lvl>
    <w:lvl w:ilvl="3" w:tplc="20427320" w:tentative="1">
      <w:start w:val="1"/>
      <w:numFmt w:val="decimal"/>
      <w:lvlText w:val="%4."/>
      <w:lvlJc w:val="left"/>
      <w:pPr>
        <w:ind w:left="2880" w:hanging="360"/>
      </w:pPr>
    </w:lvl>
    <w:lvl w:ilvl="4" w:tplc="20427320" w:tentative="1">
      <w:start w:val="1"/>
      <w:numFmt w:val="lowerLetter"/>
      <w:lvlText w:val="%5."/>
      <w:lvlJc w:val="left"/>
      <w:pPr>
        <w:ind w:left="3600" w:hanging="360"/>
      </w:pPr>
    </w:lvl>
    <w:lvl w:ilvl="5" w:tplc="20427320" w:tentative="1">
      <w:start w:val="1"/>
      <w:numFmt w:val="lowerRoman"/>
      <w:lvlText w:val="%6."/>
      <w:lvlJc w:val="right"/>
      <w:pPr>
        <w:ind w:left="4320" w:hanging="180"/>
      </w:pPr>
    </w:lvl>
    <w:lvl w:ilvl="6" w:tplc="20427320" w:tentative="1">
      <w:start w:val="1"/>
      <w:numFmt w:val="decimal"/>
      <w:lvlText w:val="%7."/>
      <w:lvlJc w:val="left"/>
      <w:pPr>
        <w:ind w:left="5040" w:hanging="360"/>
      </w:pPr>
    </w:lvl>
    <w:lvl w:ilvl="7" w:tplc="20427320" w:tentative="1">
      <w:start w:val="1"/>
      <w:numFmt w:val="lowerLetter"/>
      <w:lvlText w:val="%8."/>
      <w:lvlJc w:val="left"/>
      <w:pPr>
        <w:ind w:left="5760" w:hanging="360"/>
      </w:pPr>
    </w:lvl>
    <w:lvl w:ilvl="8" w:tplc="20427320" w:tentative="1">
      <w:start w:val="1"/>
      <w:numFmt w:val="lowerRoman"/>
      <w:lvlText w:val="%9."/>
      <w:lvlJc w:val="right"/>
      <w:pPr>
        <w:ind w:left="6480" w:hanging="180"/>
      </w:pPr>
    </w:lvl>
  </w:abstractNum>
  <w:abstractNum w:abstractNumId="15852">
    <w:multiLevelType w:val="hybridMultilevel"/>
    <w:lvl w:ilvl="0" w:tplc="14325319">
      <w:start w:val="1"/>
      <w:numFmt w:val="decimal"/>
      <w:lvlText w:val="%1."/>
      <w:lvlJc w:val="left"/>
      <w:pPr>
        <w:ind w:left="720" w:hanging="360"/>
      </w:pPr>
    </w:lvl>
    <w:lvl w:ilvl="1" w:tplc="14325319" w:tentative="1">
      <w:start w:val="1"/>
      <w:numFmt w:val="lowerLetter"/>
      <w:lvlText w:val="%2."/>
      <w:lvlJc w:val="left"/>
      <w:pPr>
        <w:ind w:left="1440" w:hanging="360"/>
      </w:pPr>
    </w:lvl>
    <w:lvl w:ilvl="2" w:tplc="14325319" w:tentative="1">
      <w:start w:val="1"/>
      <w:numFmt w:val="lowerRoman"/>
      <w:lvlText w:val="%3."/>
      <w:lvlJc w:val="right"/>
      <w:pPr>
        <w:ind w:left="2160" w:hanging="180"/>
      </w:pPr>
    </w:lvl>
    <w:lvl w:ilvl="3" w:tplc="14325319" w:tentative="1">
      <w:start w:val="1"/>
      <w:numFmt w:val="decimal"/>
      <w:lvlText w:val="%4."/>
      <w:lvlJc w:val="left"/>
      <w:pPr>
        <w:ind w:left="2880" w:hanging="360"/>
      </w:pPr>
    </w:lvl>
    <w:lvl w:ilvl="4" w:tplc="14325319" w:tentative="1">
      <w:start w:val="1"/>
      <w:numFmt w:val="lowerLetter"/>
      <w:lvlText w:val="%5."/>
      <w:lvlJc w:val="left"/>
      <w:pPr>
        <w:ind w:left="3600" w:hanging="360"/>
      </w:pPr>
    </w:lvl>
    <w:lvl w:ilvl="5" w:tplc="14325319" w:tentative="1">
      <w:start w:val="1"/>
      <w:numFmt w:val="lowerRoman"/>
      <w:lvlText w:val="%6."/>
      <w:lvlJc w:val="right"/>
      <w:pPr>
        <w:ind w:left="4320" w:hanging="180"/>
      </w:pPr>
    </w:lvl>
    <w:lvl w:ilvl="6" w:tplc="14325319" w:tentative="1">
      <w:start w:val="1"/>
      <w:numFmt w:val="decimal"/>
      <w:lvlText w:val="%7."/>
      <w:lvlJc w:val="left"/>
      <w:pPr>
        <w:ind w:left="5040" w:hanging="360"/>
      </w:pPr>
    </w:lvl>
    <w:lvl w:ilvl="7" w:tplc="14325319" w:tentative="1">
      <w:start w:val="1"/>
      <w:numFmt w:val="lowerLetter"/>
      <w:lvlText w:val="%8."/>
      <w:lvlJc w:val="left"/>
      <w:pPr>
        <w:ind w:left="5760" w:hanging="360"/>
      </w:pPr>
    </w:lvl>
    <w:lvl w:ilvl="8" w:tplc="14325319" w:tentative="1">
      <w:start w:val="1"/>
      <w:numFmt w:val="lowerRoman"/>
      <w:lvlText w:val="%9."/>
      <w:lvlJc w:val="right"/>
      <w:pPr>
        <w:ind w:left="6480" w:hanging="180"/>
      </w:pPr>
    </w:lvl>
  </w:abstractNum>
  <w:abstractNum w:abstractNumId="2501">
    <w:multiLevelType w:val="hybridMultilevel"/>
    <w:lvl w:ilvl="0" w:tplc="71197665">
      <w:start w:val="1"/>
      <w:numFmt w:val="decimal"/>
      <w:lvlText w:val="%1."/>
      <w:lvlJc w:val="left"/>
      <w:pPr>
        <w:ind w:left="720" w:hanging="360"/>
      </w:pPr>
    </w:lvl>
    <w:lvl w:ilvl="1" w:tplc="71197665" w:tentative="1">
      <w:start w:val="1"/>
      <w:numFmt w:val="lowerLetter"/>
      <w:lvlText w:val="%2."/>
      <w:lvlJc w:val="left"/>
      <w:pPr>
        <w:ind w:left="1440" w:hanging="360"/>
      </w:pPr>
    </w:lvl>
    <w:lvl w:ilvl="2" w:tplc="71197665" w:tentative="1">
      <w:start w:val="1"/>
      <w:numFmt w:val="lowerRoman"/>
      <w:lvlText w:val="%3."/>
      <w:lvlJc w:val="right"/>
      <w:pPr>
        <w:ind w:left="2160" w:hanging="180"/>
      </w:pPr>
    </w:lvl>
    <w:lvl w:ilvl="3" w:tplc="71197665" w:tentative="1">
      <w:start w:val="1"/>
      <w:numFmt w:val="decimal"/>
      <w:lvlText w:val="%4."/>
      <w:lvlJc w:val="left"/>
      <w:pPr>
        <w:ind w:left="2880" w:hanging="360"/>
      </w:pPr>
    </w:lvl>
    <w:lvl w:ilvl="4" w:tplc="71197665" w:tentative="1">
      <w:start w:val="1"/>
      <w:numFmt w:val="lowerLetter"/>
      <w:lvlText w:val="%5."/>
      <w:lvlJc w:val="left"/>
      <w:pPr>
        <w:ind w:left="3600" w:hanging="360"/>
      </w:pPr>
    </w:lvl>
    <w:lvl w:ilvl="5" w:tplc="71197665" w:tentative="1">
      <w:start w:val="1"/>
      <w:numFmt w:val="lowerRoman"/>
      <w:lvlText w:val="%6."/>
      <w:lvlJc w:val="right"/>
      <w:pPr>
        <w:ind w:left="4320" w:hanging="180"/>
      </w:pPr>
    </w:lvl>
    <w:lvl w:ilvl="6" w:tplc="71197665" w:tentative="1">
      <w:start w:val="1"/>
      <w:numFmt w:val="decimal"/>
      <w:lvlText w:val="%7."/>
      <w:lvlJc w:val="left"/>
      <w:pPr>
        <w:ind w:left="5040" w:hanging="360"/>
      </w:pPr>
    </w:lvl>
    <w:lvl w:ilvl="7" w:tplc="71197665" w:tentative="1">
      <w:start w:val="1"/>
      <w:numFmt w:val="lowerLetter"/>
      <w:lvlText w:val="%8."/>
      <w:lvlJc w:val="left"/>
      <w:pPr>
        <w:ind w:left="5760" w:hanging="360"/>
      </w:pPr>
    </w:lvl>
    <w:lvl w:ilvl="8" w:tplc="71197665" w:tentative="1">
      <w:start w:val="1"/>
      <w:numFmt w:val="lowerRoman"/>
      <w:lvlText w:val="%9."/>
      <w:lvlJc w:val="right"/>
      <w:pPr>
        <w:ind w:left="6480" w:hanging="180"/>
      </w:pPr>
    </w:lvl>
  </w:abstractNum>
  <w:abstractNum w:abstractNumId="10622">
    <w:multiLevelType w:val="hybridMultilevel"/>
    <w:lvl w:ilvl="0" w:tplc="64040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622">
    <w:abstractNumId w:val="10622"/>
  </w:num>
  <w:num w:numId="2501">
    <w:abstractNumId w:val="2501"/>
  </w:num>
  <w:num w:numId="15852">
    <w:abstractNumId w:val="15852"/>
  </w:num>
  <w:num w:numId="15947">
    <w:abstractNumId w:val="15947"/>
  </w:num>
  <w:num w:numId="19169">
    <w:abstractNumId w:val="19169"/>
  </w:num>
  <w:num w:numId="18580">
    <w:abstractNumId w:val="185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649019436" Type="http://schemas.microsoft.com/office/2011/relationships/commentsExtended" Target="commentsExtended.xml"/><Relationship Id="rId248667b2333cdaf66" Type="http://schemas.openxmlformats.org/officeDocument/2006/relationships/hyperlink" Target="https://performansmerkezi.trabzon.edu.tr/S/5706/organizasyon-semasi" TargetMode="External"/><Relationship Id="rId103967b2333cdb63a" Type="http://schemas.openxmlformats.org/officeDocument/2006/relationships/hyperlink" Target="https://performansmerkezi.trabzon.edu.tr/S/5818/komisyonlar" TargetMode="External"/><Relationship Id="rId132167b2333cdc176" Type="http://schemas.openxmlformats.org/officeDocument/2006/relationships/hyperlink" Target="https://performansmerkezi.trabzon.edu.tr/S/6619/faaliyet-raporu-ve-kurum-ic-degerlendirme-raporlari" TargetMode="External"/><Relationship Id="rId775267b2333cdc85f" Type="http://schemas.openxmlformats.org/officeDocument/2006/relationships/hyperlink" Target="https://performansmerkezi.trabzon.edu.tr/https://performansmerkezi.trabzon.edu.tr/S/5121/basinhttps://www.instagram.com/trabzonperformansmerkezihttps://www.youtube.com/@trabzonperformansmerkezi/featuredhttps://twitter.com/Performansolcum" TargetMode="External"/><Relationship Id="rId819067b2333cdcf85" Type="http://schemas.openxmlformats.org/officeDocument/2006/relationships/hyperlink" Target="https://performansmerkezi.trabzon.edu.tr/S/5117/hakkimizdahttps://performansmerkezi.trabzon.edu.tr/S/6619/faaliyet-raporu-ve-kurum-ic-degerlendirme-raporlari" TargetMode="External"/><Relationship Id="rId703367b2333cdd791" Type="http://schemas.openxmlformats.org/officeDocument/2006/relationships/hyperlink" Target="https://performansmerkezi.trabzon.edu.tr/S/6619/faaliyet-raporu-ve-kurum-ic-degerlendirme-raporlari" TargetMode="External"/><Relationship Id="rId965467b2333cddad1" Type="http://schemas.openxmlformats.org/officeDocument/2006/relationships/hyperlink" Target="https://www.trabzonperformansmerkezi.com/" TargetMode="External"/><Relationship Id="rId484667b2333cddfe5" Type="http://schemas.openxmlformats.org/officeDocument/2006/relationships/hyperlink" Target="https://performansmerkezi.trabzon.edu.tr/S/5706/organizasyon-semasihttps://performansmerkezi.trabzon.edu.tr/S/3420/paydaslarimiz" TargetMode="External"/><Relationship Id="rId256667b2333cde2f9" Type="http://schemas.openxmlformats.org/officeDocument/2006/relationships/hyperlink" Target="https://performansmerkezi.trabzon.edu.tr/S/5802/is-akis-semalari-surecler" TargetMode="External"/><Relationship Id="rId877967b2333cde65a" Type="http://schemas.openxmlformats.org/officeDocument/2006/relationships/hyperlink" Target="https://performansmerkezi.trabzon.edu.tr/Haber/1105/dagcilik-5-kademe-antrenorlerinin-performans-degerleri-olculduhttps://performansmerkezi.trabzon.edu.tr/Haber/1351/busenaz-surmeneli-olcumlerini-merkezimizde-yaptiriyorhttps://www.instagram.com/p/C2zDOQirLIY/https://www.instagram.com/p/CwqCDGRLyF-/https://www.instagram.com/p/CoFIT7zA0tb/" TargetMode="External"/><Relationship Id="rId389767b2333cde6d4" Type="http://schemas.openxmlformats.org/officeDocument/2006/relationships/hyperlink" Target="https://performansmerkezi.trabzon.edu.tr/Haber/1105/dagcilik-5-kademe-antrenorlerinin-performans-degerleri-olculduhttps://performansmerkezi.trabzon.edu.tr/Haber/1351/busenaz-surmeneli-olcumlerini-merkezimizde-yaptiriyorhttps://www.instagram.com/p/C2zDOQirLIY/https://www.instagram.com/p/CwqCDGRLyF-/https://www.instagram.com/p/CoFIT7zA0tb/" TargetMode="External"/><Relationship Id="rId531367b2333cde9d4" Type="http://schemas.openxmlformats.org/officeDocument/2006/relationships/hyperlink" Target="https://performansmerkezi.trabzon.edu.tr/https://performansmerkezi.trabzon.edu.tr/S/5121/basinhttps://www.instagram.com/trabzonperformansmerkezihttps://www.youtube.com/@trabzonperformansmerkezi/featuredhttps://twitter.com/Performansolcum" TargetMode="External"/><Relationship Id="rId659667b2333cdef35" Type="http://schemas.openxmlformats.org/officeDocument/2006/relationships/hyperlink" Target="https://performansmerkezi.trabzon.edu.tr/Haber/1361/merkezimiz-personeli-ogretim-gorevlisi-husnu-canbolat-almanyada-onemli-ziyaretlerde-bulundu" TargetMode="External"/><Relationship Id="rId910567b2333cdefac" Type="http://schemas.openxmlformats.org/officeDocument/2006/relationships/hyperlink" Target="https://performansmerkezi.trabzon.edu.tr/Haber/1361/merkezimiz-personeli-ogretim-gorevlisi-husnu-canbolat-almanyada-onemli-ziyaretlerde-bulundu" TargetMode="External"/><Relationship Id="rId488567b2333cdf023" Type="http://schemas.openxmlformats.org/officeDocument/2006/relationships/hyperlink" Target="https://performansmerkezi.trabzon.edu.tr/Haber/1361/merkezimiz-personeli-ogretim-gorevlisi-husnu-canbolat-almanyada-onemli-ziyaretlerde-bulundu" TargetMode="External"/><Relationship Id="rId176567b2333cdf09a" Type="http://schemas.openxmlformats.org/officeDocument/2006/relationships/hyperlink" Target="https://performansmerkezi.trabzon.edu.tr/Haber/1361/merkezimiz-personeli-ogretim-gorevlisi-husnu-canbolat-almanyada-onemli-ziyaretlerde-bulundu" TargetMode="External"/><Relationship Id="rId596567b2333cdf10f" Type="http://schemas.openxmlformats.org/officeDocument/2006/relationships/hyperlink" Target="https://performansmerkezi.trabzon.edu.tr/Haber/1361/merkezimiz-personeli-ogretim-gorevlisi-husnu-canbolat-almanyada-onemli-ziyaretlerde-bulundu" TargetMode="External"/><Relationship Id="rId938867b2333cdf615" Type="http://schemas.openxmlformats.org/officeDocument/2006/relationships/hyperlink" Target="https://performansmerkezi.trabzon.edu.tr/Haber/1361/merkezimiz-personeli-ogretim-gorevlisi-husnu-canbolat-almanyada-onemli-ziyaretlerde-bulundu" TargetMode="External"/><Relationship Id="rId124567b2333ce0bcd" Type="http://schemas.openxmlformats.org/officeDocument/2006/relationships/hyperlink" Target="https://performansmerkezi.trabzon.edu.tr/Haber/1105/dagcilik-5-kademe-antrenorlerinin-performans-degerleri-olculdu" TargetMode="External"/><Relationship Id="rId208567b2333ce10db" Type="http://schemas.openxmlformats.org/officeDocument/2006/relationships/hyperlink" Target="https://performansmerkezi.trabzon.edu.tr/S/5117/hakkimizda" TargetMode="External"/><Relationship Id="rId731567b2333ce1151" Type="http://schemas.openxmlformats.org/officeDocument/2006/relationships/hyperlink" Target="https://performansmerkezi.trabzon.edu.tr/S/5117/hakkimizda" TargetMode="External"/><Relationship Id="rId841267b2333ce1664" Type="http://schemas.openxmlformats.org/officeDocument/2006/relationships/hyperlink" Target="https://performansmerkezi.trabzon.edu.tr/S/6619/faaliyet-raporu-ve-kurum-ic-degerlendirme-raporlari" TargetMode="External"/><Relationship Id="rId444067b2333ce16da" Type="http://schemas.openxmlformats.org/officeDocument/2006/relationships/hyperlink" Target="https://performansmerkezi.trabzon.edu.tr/S/6619/faaliyet-raporu-ve-kurum-ic-degerlendirme-raporlari" TargetMode="External"/><Relationship Id="rId383767b2333ce204c" Type="http://schemas.openxmlformats.org/officeDocument/2006/relationships/hyperlink" Target="https://performansmerkezi.trabzon.edu.tr/Files/ckFiles/performansmerkezi-trabzon-edu-tr/PDF%20BELGELER/PERFORMANS%20MERKEZ%C4%B0%20C%C4%B0HAZLARIMIZ.pdfhttps://kutuphane.trabzon.edu.trhttps://vpn.trabzon.edu.tr" TargetMode="External"/><Relationship Id="rId117267b2333ce233d" Type="http://schemas.openxmlformats.org/officeDocument/2006/relationships/hyperlink" Target="https://performansmerkezi.trabzon.edu.tr/S/5117/hakkimizda" TargetMode="External"/><Relationship Id="rId777067b2333ce2a3d" Type="http://schemas.openxmlformats.org/officeDocument/2006/relationships/hyperlink" Target="https://kidr.trabzon.edu.tr/indir.php?yol=./dosyayukle/624d56e289a5611cb9a3bbc8cd5fde7b.docx&amp;yeni=C.2.2._1%3A+Kan%C4%B1t" TargetMode="External"/><Relationship Id="rId571867b2333ce3460" Type="http://schemas.openxmlformats.org/officeDocument/2006/relationships/hyperlink" Target="https://performansmerkezi.trabzon.edu.tr/Haber/1552/sanayi-ve-teknoloji-bakani-mehmet-fatih-kacir-merkezimizi-ziyaret-etti"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